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87F4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2C8A697E" w14:textId="1E323A64" w:rsidR="00EE78D6" w:rsidRPr="00EE78D6" w:rsidRDefault="00956C7F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E0095B">
        <w:rPr>
          <w:rFonts w:ascii="Century Gothic" w:hAnsi="Century Gothic"/>
          <w:b/>
          <w:bCs/>
          <w:sz w:val="24"/>
          <w:szCs w:val="24"/>
        </w:rPr>
        <w:t>41660 Master of Human Resources and Employment Relations</w:t>
      </w:r>
      <w:r w:rsidR="00EE78D6" w:rsidRPr="00765432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54FDD60C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C3BEB">
        <w:rPr>
          <w:bCs/>
          <w:color w:val="231F20"/>
        </w:rPr>
        <w:t>2</w:t>
      </w:r>
    </w:p>
    <w:p w14:paraId="29096AF2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69587E8F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02FC1A15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1C813AD9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6598075B" w14:textId="77777777" w:rsidTr="006A740B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4BB588C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240C8CD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938E1A0" w14:textId="77777777" w:rsidR="00886DCE" w:rsidRPr="00647C6B" w:rsidRDefault="00886DCE" w:rsidP="00886DC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HRMT5504</w:t>
            </w:r>
          </w:p>
          <w:p w14:paraId="0414EA1B" w14:textId="663473E4" w:rsidR="00EE78D6" w:rsidRPr="00EE78D6" w:rsidRDefault="00886DCE" w:rsidP="00886D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Introduction to 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0B58EC4" w14:textId="77777777" w:rsidR="00AD3CDC" w:rsidRPr="00647C6B" w:rsidRDefault="00AD3CDC" w:rsidP="00AD3C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MGMT5507</w:t>
            </w:r>
          </w:p>
          <w:p w14:paraId="28CBB2A6" w14:textId="7032CB98" w:rsidR="008B159E" w:rsidRPr="00EE78D6" w:rsidRDefault="00AD3CDC" w:rsidP="00AD3CDC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iCs/>
                <w:sz w:val="20"/>
                <w:szCs w:val="20"/>
              </w:rPr>
              <w:t xml:space="preserve">Management &amp; </w:t>
            </w:r>
            <w:proofErr w:type="spellStart"/>
            <w:r w:rsidRPr="00647C6B">
              <w:rPr>
                <w:iCs/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BBCE080" w14:textId="77777777" w:rsidR="000436E6" w:rsidRPr="00647C6B" w:rsidRDefault="000436E6" w:rsidP="000436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MGMT5508</w:t>
            </w:r>
          </w:p>
          <w:p w14:paraId="47406DB2" w14:textId="17FD9898" w:rsidR="008B159E" w:rsidRPr="008B159E" w:rsidRDefault="000436E6" w:rsidP="000436E6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Organisational Behaviour &amp; Leadership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vAlign w:val="center"/>
          </w:tcPr>
          <w:p w14:paraId="184C87AC" w14:textId="77777777" w:rsidR="0036375D" w:rsidRPr="00647C6B" w:rsidRDefault="0036375D" w:rsidP="003637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EMPL5514</w:t>
            </w:r>
          </w:p>
          <w:p w14:paraId="29DEDB83" w14:textId="4AFD900D" w:rsidR="008B159E" w:rsidRPr="008B159E" w:rsidRDefault="0036375D" w:rsidP="0036375D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Negotiation &amp; Dispute Resolution</w:t>
            </w:r>
          </w:p>
        </w:tc>
      </w:tr>
      <w:tr w:rsidR="003C5DEE" w14:paraId="2862C719" w14:textId="77777777" w:rsidTr="006A740B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45F14F0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1EB2FDBA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332B1F" w14:textId="77777777" w:rsidR="003D7D27" w:rsidRPr="00647C6B" w:rsidRDefault="003D7D27" w:rsidP="003D7D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EMPL5412</w:t>
            </w:r>
          </w:p>
          <w:p w14:paraId="02A49661" w14:textId="0F0A3E8C" w:rsidR="008B159E" w:rsidRPr="00EE78D6" w:rsidRDefault="003D7D27" w:rsidP="003D7D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Employment Relations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89A0A7E" w14:textId="77777777" w:rsidR="00A17DB5" w:rsidRPr="00647C6B" w:rsidRDefault="00A17DB5" w:rsidP="00A17DB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HRMT5501</w:t>
            </w:r>
          </w:p>
          <w:p w14:paraId="7CF8A6A7" w14:textId="48918420" w:rsidR="008B159E" w:rsidRPr="00EE78D6" w:rsidRDefault="00A17DB5" w:rsidP="00A17DB5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Diversity &amp; Inclusion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42D938A" w14:textId="77777777" w:rsidR="00270BAC" w:rsidRPr="00647C6B" w:rsidRDefault="00270BAC" w:rsidP="00270BA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HRMT5518</w:t>
            </w:r>
          </w:p>
          <w:p w14:paraId="2A48AE23" w14:textId="7381EFCB" w:rsidR="008B159E" w:rsidRPr="00EE78D6" w:rsidRDefault="00270BAC" w:rsidP="00270BAC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Strategic 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CF2D7" w:themeFill="accent6" w:themeFillTint="33"/>
            <w:vAlign w:val="center"/>
          </w:tcPr>
          <w:p w14:paraId="63142666" w14:textId="77777777" w:rsidR="00E94119" w:rsidRPr="00647C6B" w:rsidRDefault="00E94119" w:rsidP="00E941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HRMT5530</w:t>
            </w:r>
          </w:p>
          <w:p w14:paraId="4C13A30B" w14:textId="4368E97E" w:rsidR="008B159E" w:rsidRPr="008B159E" w:rsidRDefault="00E94119" w:rsidP="00E941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Career Development &amp; Employability</w:t>
            </w:r>
          </w:p>
        </w:tc>
      </w:tr>
      <w:tr w:rsidR="003C5DEE" w14:paraId="19BBE0F2" w14:textId="77777777" w:rsidTr="006A740B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07CC559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7DABDB2B" w14:textId="77777777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2370A13" w14:textId="77777777" w:rsidR="001C0060" w:rsidRPr="00647C6B" w:rsidRDefault="001C0060" w:rsidP="001C00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HRMT5502</w:t>
            </w:r>
          </w:p>
          <w:p w14:paraId="4497FC4C" w14:textId="148A331A" w:rsidR="008B159E" w:rsidRPr="00EE78D6" w:rsidRDefault="001C0060" w:rsidP="001C0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People Analytics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8EEBE80" w14:textId="77777777" w:rsidR="00D52FB6" w:rsidRPr="00647C6B" w:rsidRDefault="00D52FB6" w:rsidP="00D52FB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EMPL5450</w:t>
            </w:r>
          </w:p>
          <w:p w14:paraId="20A8AEF6" w14:textId="1A0EFAC9" w:rsidR="008B159E" w:rsidRPr="008B159E" w:rsidRDefault="00D52FB6" w:rsidP="00D52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Sustainability and Employment Relations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7A13015" w14:textId="77777777" w:rsidR="002D43CC" w:rsidRPr="00647C6B" w:rsidRDefault="002D43CC" w:rsidP="002D43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EMPL5501</w:t>
            </w:r>
          </w:p>
          <w:p w14:paraId="56F67852" w14:textId="4DBE3B8B" w:rsidR="003C5DEE" w:rsidRPr="00EE78D6" w:rsidRDefault="002D43CC" w:rsidP="002D43C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Strategic Workplace Relations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5780DF2" w14:textId="0D380437" w:rsidR="003C5DEE" w:rsidRPr="00EE78D6" w:rsidRDefault="008374A4" w:rsidP="0076543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  <w:tr w:rsidR="00262E52" w14:paraId="203FAC67" w14:textId="77777777" w:rsidTr="006A740B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7B16A45" w14:textId="77777777" w:rsidR="00262E52" w:rsidRPr="00983B47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C46C869" w14:textId="77777777" w:rsidR="00262E52" w:rsidRDefault="00262E52" w:rsidP="003C5DEE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3F60F47" w14:textId="77777777" w:rsidR="00A05F98" w:rsidRPr="00647C6B" w:rsidRDefault="00A05F98" w:rsidP="00A05F9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EMPL5511</w:t>
            </w:r>
          </w:p>
          <w:p w14:paraId="0F7503A7" w14:textId="01B4F728" w:rsidR="00262E52" w:rsidRPr="00765432" w:rsidRDefault="00A05F98" w:rsidP="00A05F9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Employment Relations in a Global Context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7592901" w14:textId="7FC0B48F" w:rsidR="00262E52" w:rsidRPr="00765432" w:rsidRDefault="008374A4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EE26D3B" w14:textId="39364A55" w:rsidR="00262E52" w:rsidRPr="00765432" w:rsidRDefault="008374A4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842A84F" w14:textId="41F556D9" w:rsidR="00262E52" w:rsidRPr="00765432" w:rsidRDefault="008374A4" w:rsidP="008374A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</w:tbl>
    <w:p w14:paraId="45C5ACC1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4B8150F0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3B0AE573" w14:textId="77777777" w:rsidR="00367CDF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346F41CD" w14:textId="77777777" w:rsidR="00956C7F" w:rsidRPr="00B67CCD" w:rsidRDefault="00956C7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14:paraId="58A9ECA7" w14:textId="77777777" w:rsidR="00956C7F" w:rsidRPr="00BC1797" w:rsidRDefault="00956C7F" w:rsidP="00956C7F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BC1797">
        <w:rPr>
          <w:b/>
          <w:bCs/>
          <w:sz w:val="16"/>
          <w:szCs w:val="16"/>
        </w:rPr>
        <w:t>Options (refer to handbook):</w:t>
      </w:r>
    </w:p>
    <w:p w14:paraId="09E8B310" w14:textId="77777777" w:rsidR="00956C7F" w:rsidRPr="00BC1797" w:rsidRDefault="00956C7F" w:rsidP="00956C7F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BC1797">
        <w:rPr>
          <w:sz w:val="16"/>
          <w:szCs w:val="16"/>
        </w:rPr>
        <w:t>Group A - Students may choose units to the value of 24 points</w:t>
      </w:r>
    </w:p>
    <w:p w14:paraId="3F2A31F9" w14:textId="77777777" w:rsidR="00956C7F" w:rsidRPr="00BC1797" w:rsidRDefault="00956C7F" w:rsidP="00956C7F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BC1797">
        <w:rPr>
          <w:sz w:val="16"/>
          <w:szCs w:val="16"/>
        </w:rPr>
        <w:t>Group B - Students may choose units to the value of 12 points</w:t>
      </w:r>
    </w:p>
    <w:p w14:paraId="2C113396" w14:textId="3C847759" w:rsidR="00B67CCD" w:rsidRPr="00956C7F" w:rsidRDefault="00956C7F" w:rsidP="00B61BFB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BC1797">
        <w:rPr>
          <w:sz w:val="16"/>
          <w:szCs w:val="16"/>
        </w:rPr>
        <w:t>Group C - Students may choose units to the value of 6 points</w:t>
      </w:r>
    </w:p>
    <w:p w14:paraId="70230230" w14:textId="47EAF74D" w:rsidR="00956C7F" w:rsidRPr="00956C7F" w:rsidRDefault="00673483" w:rsidP="00956C7F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956C7F">
        <w:rPr>
          <w:b/>
          <w:bCs/>
          <w:sz w:val="16"/>
          <w:szCs w:val="16"/>
        </w:rPr>
        <w:t>N</w:t>
      </w:r>
      <w:r w:rsidR="0089117F" w:rsidRPr="00956C7F">
        <w:rPr>
          <w:b/>
          <w:bCs/>
          <w:sz w:val="16"/>
          <w:szCs w:val="16"/>
        </w:rPr>
        <w:t>otes</w:t>
      </w:r>
      <w:r w:rsidR="00956C7F">
        <w:rPr>
          <w:b/>
          <w:bCs/>
          <w:sz w:val="16"/>
          <w:szCs w:val="16"/>
        </w:rPr>
        <w:t>:</w:t>
      </w:r>
    </w:p>
    <w:p w14:paraId="0C8C94B4" w14:textId="40E36EEB" w:rsidR="00637FA5" w:rsidRPr="00956C7F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956C7F">
        <w:rPr>
          <w:sz w:val="16"/>
          <w:szCs w:val="16"/>
        </w:rPr>
        <w:t>Information</w:t>
      </w:r>
      <w:r w:rsidRPr="00956C7F">
        <w:rPr>
          <w:spacing w:val="-5"/>
          <w:sz w:val="16"/>
          <w:szCs w:val="16"/>
        </w:rPr>
        <w:t xml:space="preserve"> </w:t>
      </w:r>
      <w:r w:rsidRPr="00956C7F">
        <w:rPr>
          <w:sz w:val="16"/>
          <w:szCs w:val="16"/>
        </w:rPr>
        <w:t>about</w:t>
      </w:r>
      <w:r w:rsidRPr="00956C7F">
        <w:rPr>
          <w:spacing w:val="-5"/>
          <w:sz w:val="16"/>
          <w:szCs w:val="16"/>
        </w:rPr>
        <w:t xml:space="preserve"> </w:t>
      </w:r>
      <w:r w:rsidRPr="00956C7F">
        <w:rPr>
          <w:sz w:val="16"/>
          <w:szCs w:val="16"/>
        </w:rPr>
        <w:t>unit</w:t>
      </w:r>
      <w:r w:rsidRPr="00956C7F">
        <w:rPr>
          <w:spacing w:val="-6"/>
          <w:sz w:val="16"/>
          <w:szCs w:val="16"/>
        </w:rPr>
        <w:t xml:space="preserve"> </w:t>
      </w:r>
      <w:r w:rsidRPr="00956C7F">
        <w:rPr>
          <w:sz w:val="16"/>
          <w:szCs w:val="16"/>
        </w:rPr>
        <w:t>availability</w:t>
      </w:r>
      <w:r w:rsidRPr="00956C7F">
        <w:rPr>
          <w:spacing w:val="-5"/>
          <w:sz w:val="16"/>
          <w:szCs w:val="16"/>
        </w:rPr>
        <w:t xml:space="preserve"> </w:t>
      </w:r>
      <w:r w:rsidRPr="00956C7F">
        <w:rPr>
          <w:sz w:val="16"/>
          <w:szCs w:val="16"/>
        </w:rPr>
        <w:t>should</w:t>
      </w:r>
      <w:r w:rsidRPr="00956C7F">
        <w:rPr>
          <w:spacing w:val="-3"/>
          <w:sz w:val="16"/>
          <w:szCs w:val="16"/>
        </w:rPr>
        <w:t xml:space="preserve"> </w:t>
      </w:r>
      <w:r w:rsidRPr="00956C7F">
        <w:rPr>
          <w:sz w:val="16"/>
          <w:szCs w:val="16"/>
        </w:rPr>
        <w:t>be</w:t>
      </w:r>
      <w:r w:rsidRPr="00956C7F">
        <w:rPr>
          <w:spacing w:val="-4"/>
          <w:sz w:val="16"/>
          <w:szCs w:val="16"/>
        </w:rPr>
        <w:t xml:space="preserve"> </w:t>
      </w:r>
      <w:r w:rsidRPr="00956C7F">
        <w:rPr>
          <w:sz w:val="16"/>
          <w:szCs w:val="16"/>
        </w:rPr>
        <w:t>checked</w:t>
      </w:r>
      <w:r w:rsidRPr="00956C7F">
        <w:rPr>
          <w:spacing w:val="-4"/>
          <w:sz w:val="16"/>
          <w:szCs w:val="16"/>
        </w:rPr>
        <w:t xml:space="preserve"> </w:t>
      </w:r>
      <w:r w:rsidRPr="00956C7F">
        <w:rPr>
          <w:sz w:val="16"/>
          <w:szCs w:val="16"/>
        </w:rPr>
        <w:t>at</w:t>
      </w:r>
      <w:r w:rsidRPr="00956C7F">
        <w:rPr>
          <w:spacing w:val="-3"/>
          <w:sz w:val="16"/>
          <w:szCs w:val="16"/>
        </w:rPr>
        <w:t xml:space="preserve"> </w:t>
      </w:r>
      <w:r w:rsidRPr="00956C7F">
        <w:rPr>
          <w:sz w:val="16"/>
          <w:szCs w:val="16"/>
        </w:rPr>
        <w:t>the</w:t>
      </w:r>
      <w:r w:rsidRPr="00956C7F">
        <w:rPr>
          <w:spacing w:val="-1"/>
          <w:sz w:val="16"/>
          <w:szCs w:val="16"/>
        </w:rPr>
        <w:t xml:space="preserve"> </w:t>
      </w:r>
      <w:r w:rsidRPr="00956C7F">
        <w:rPr>
          <w:sz w:val="16"/>
          <w:szCs w:val="16"/>
        </w:rPr>
        <w:t>beginning</w:t>
      </w:r>
      <w:r w:rsidRPr="00956C7F">
        <w:rPr>
          <w:spacing w:val="-2"/>
          <w:sz w:val="16"/>
          <w:szCs w:val="16"/>
        </w:rPr>
        <w:t xml:space="preserve"> </w:t>
      </w:r>
      <w:r w:rsidRPr="00956C7F">
        <w:rPr>
          <w:sz w:val="16"/>
          <w:szCs w:val="16"/>
        </w:rPr>
        <w:t>of</w:t>
      </w:r>
      <w:r w:rsidRPr="00956C7F">
        <w:rPr>
          <w:spacing w:val="-4"/>
          <w:sz w:val="16"/>
          <w:szCs w:val="16"/>
        </w:rPr>
        <w:t xml:space="preserve"> </w:t>
      </w:r>
      <w:r w:rsidRPr="00956C7F">
        <w:rPr>
          <w:sz w:val="16"/>
          <w:szCs w:val="16"/>
        </w:rPr>
        <w:t>each</w:t>
      </w:r>
      <w:r w:rsidRPr="00956C7F">
        <w:rPr>
          <w:spacing w:val="-3"/>
          <w:sz w:val="16"/>
          <w:szCs w:val="16"/>
        </w:rPr>
        <w:t xml:space="preserve"> </w:t>
      </w:r>
      <w:r w:rsidRPr="00956C7F">
        <w:rPr>
          <w:sz w:val="16"/>
          <w:szCs w:val="16"/>
        </w:rPr>
        <w:t>semester</w:t>
      </w:r>
      <w:r w:rsidRPr="00956C7F">
        <w:rPr>
          <w:spacing w:val="-3"/>
          <w:sz w:val="16"/>
          <w:szCs w:val="16"/>
        </w:rPr>
        <w:t xml:space="preserve"> </w:t>
      </w:r>
      <w:r w:rsidRPr="00956C7F">
        <w:rPr>
          <w:sz w:val="16"/>
          <w:szCs w:val="16"/>
        </w:rPr>
        <w:t>and</w:t>
      </w:r>
      <w:r w:rsidRPr="00956C7F">
        <w:rPr>
          <w:spacing w:val="-5"/>
          <w:sz w:val="16"/>
          <w:szCs w:val="16"/>
        </w:rPr>
        <w:t xml:space="preserve"> </w:t>
      </w:r>
      <w:r w:rsidRPr="00956C7F">
        <w:rPr>
          <w:sz w:val="16"/>
          <w:szCs w:val="16"/>
        </w:rPr>
        <w:t>can</w:t>
      </w:r>
      <w:r w:rsidRPr="00956C7F">
        <w:rPr>
          <w:spacing w:val="-2"/>
          <w:sz w:val="16"/>
          <w:szCs w:val="16"/>
        </w:rPr>
        <w:t xml:space="preserve"> </w:t>
      </w:r>
      <w:r w:rsidRPr="00956C7F">
        <w:rPr>
          <w:sz w:val="16"/>
          <w:szCs w:val="16"/>
        </w:rPr>
        <w:t>be</w:t>
      </w:r>
      <w:r w:rsidRPr="00956C7F">
        <w:rPr>
          <w:spacing w:val="1"/>
          <w:sz w:val="16"/>
          <w:szCs w:val="16"/>
        </w:rPr>
        <w:t xml:space="preserve"> </w:t>
      </w:r>
      <w:r w:rsidRPr="00956C7F">
        <w:rPr>
          <w:sz w:val="16"/>
          <w:szCs w:val="16"/>
        </w:rPr>
        <w:t xml:space="preserve">found in the </w:t>
      </w:r>
      <w:hyperlink r:id="rId11" w:history="1">
        <w:r w:rsidRPr="00956C7F">
          <w:rPr>
            <w:rStyle w:val="Hyperlink"/>
            <w:sz w:val="16"/>
            <w:szCs w:val="16"/>
          </w:rPr>
          <w:t>Handbook</w:t>
        </w:r>
      </w:hyperlink>
      <w:r w:rsidRPr="00956C7F">
        <w:rPr>
          <w:rStyle w:val="Hyperlink"/>
          <w:sz w:val="16"/>
          <w:szCs w:val="16"/>
        </w:rPr>
        <w:t xml:space="preserve"> </w:t>
      </w:r>
    </w:p>
    <w:p w14:paraId="08317930" w14:textId="77777777" w:rsidR="00673483" w:rsidRPr="00956C7F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proofErr w:type="gramStart"/>
      <w:r w:rsidRPr="00956C7F">
        <w:rPr>
          <w:sz w:val="16"/>
          <w:szCs w:val="16"/>
        </w:rPr>
        <w:t>Plan ahead</w:t>
      </w:r>
      <w:proofErr w:type="gramEnd"/>
      <w:r w:rsidRPr="00956C7F">
        <w:rPr>
          <w:sz w:val="16"/>
          <w:szCs w:val="16"/>
        </w:rPr>
        <w:t xml:space="preserve">! Look at prerequisite requirements in the Handbook. For example: </w:t>
      </w:r>
      <w:r w:rsidR="0089117F" w:rsidRPr="00956C7F">
        <w:rPr>
          <w:sz w:val="16"/>
          <w:szCs w:val="16"/>
        </w:rPr>
        <w:t>ACCT5633</w:t>
      </w:r>
      <w:r w:rsidR="00480C4A" w:rsidRPr="00956C7F">
        <w:rPr>
          <w:sz w:val="16"/>
          <w:szCs w:val="16"/>
        </w:rPr>
        <w:t xml:space="preserve"> </w:t>
      </w:r>
      <w:r w:rsidR="00F724D5" w:rsidRPr="00956C7F">
        <w:rPr>
          <w:sz w:val="16"/>
          <w:szCs w:val="16"/>
        </w:rPr>
        <w:t>requires</w:t>
      </w:r>
      <w:r w:rsidR="00B20231" w:rsidRPr="00956C7F">
        <w:rPr>
          <w:sz w:val="16"/>
          <w:szCs w:val="16"/>
        </w:rPr>
        <w:t xml:space="preserve"> </w:t>
      </w:r>
      <w:r w:rsidR="00E43E9B" w:rsidRPr="00956C7F">
        <w:rPr>
          <w:sz w:val="16"/>
          <w:szCs w:val="16"/>
        </w:rPr>
        <w:t xml:space="preserve">prerequisite unit </w:t>
      </w:r>
      <w:r w:rsidR="0089117F" w:rsidRPr="00956C7F">
        <w:rPr>
          <w:sz w:val="16"/>
          <w:szCs w:val="16"/>
        </w:rPr>
        <w:t>ACCT5432</w:t>
      </w:r>
      <w:r w:rsidR="00E43E9B" w:rsidRPr="00956C7F">
        <w:rPr>
          <w:sz w:val="16"/>
          <w:szCs w:val="16"/>
        </w:rPr>
        <w:t>.</w:t>
      </w:r>
    </w:p>
    <w:p w14:paraId="6D02D7F6" w14:textId="77777777" w:rsidR="00673483" w:rsidRPr="00956C7F" w:rsidRDefault="00673483" w:rsidP="00673483">
      <w:pPr>
        <w:rPr>
          <w:sz w:val="16"/>
          <w:szCs w:val="16"/>
        </w:rPr>
      </w:pPr>
    </w:p>
    <w:p w14:paraId="7F0A0FBD" w14:textId="1442827E" w:rsidR="008C6531" w:rsidRPr="00DA16F6" w:rsidRDefault="008C6531" w:rsidP="00956C7F">
      <w:pPr>
        <w:rPr>
          <w:sz w:val="12"/>
          <w:szCs w:val="12"/>
        </w:rPr>
      </w:pPr>
    </w:p>
    <w:sectPr w:rsidR="008C6531" w:rsidRPr="00DA16F6" w:rsidSect="008C6531">
      <w:headerReference w:type="default" r:id="rId12"/>
      <w:footerReference w:type="default" r:id="rId13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AC84" w14:textId="77777777" w:rsidR="00956C7F" w:rsidRDefault="00956C7F">
      <w:r>
        <w:separator/>
      </w:r>
    </w:p>
  </w:endnote>
  <w:endnote w:type="continuationSeparator" w:id="0">
    <w:p w14:paraId="58C4332A" w14:textId="77777777" w:rsidR="00956C7F" w:rsidRDefault="00956C7F">
      <w:r>
        <w:continuationSeparator/>
      </w:r>
    </w:p>
  </w:endnote>
  <w:endnote w:type="continuationNotice" w:id="1">
    <w:p w14:paraId="621C0268" w14:textId="77777777" w:rsidR="00956C7F" w:rsidRDefault="0095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D12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865E1C8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2793921F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B3DB" w14:textId="77777777" w:rsidR="00956C7F" w:rsidRDefault="00956C7F">
      <w:r>
        <w:separator/>
      </w:r>
    </w:p>
  </w:footnote>
  <w:footnote w:type="continuationSeparator" w:id="0">
    <w:p w14:paraId="70722772" w14:textId="77777777" w:rsidR="00956C7F" w:rsidRDefault="00956C7F">
      <w:r>
        <w:continuationSeparator/>
      </w:r>
    </w:p>
  </w:footnote>
  <w:footnote w:type="continuationNotice" w:id="1">
    <w:p w14:paraId="11BC0BD7" w14:textId="77777777" w:rsidR="00956C7F" w:rsidRDefault="00956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F00D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146382E" wp14:editId="4DE6005F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E87054F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63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E87054F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A9172E" wp14:editId="70EAEAF1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085E8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F441855" wp14:editId="72666D96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EE27F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3EF3F13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41855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3E6EE27F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3EF3F13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36E6"/>
    <w:rsid w:val="000443AD"/>
    <w:rsid w:val="00047BD1"/>
    <w:rsid w:val="00057BF2"/>
    <w:rsid w:val="000600A2"/>
    <w:rsid w:val="000620AA"/>
    <w:rsid w:val="00064F9C"/>
    <w:rsid w:val="000713F7"/>
    <w:rsid w:val="000807EB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060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0BAC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D43CC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75D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D7D27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A740B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374A4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86DCE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56C7F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05F98"/>
    <w:rsid w:val="00A11912"/>
    <w:rsid w:val="00A12037"/>
    <w:rsid w:val="00A137EE"/>
    <w:rsid w:val="00A158D8"/>
    <w:rsid w:val="00A163F6"/>
    <w:rsid w:val="00A16D41"/>
    <w:rsid w:val="00A17DB5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649D4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D3CDC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0EF6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35FE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2FB6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25EB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94119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76AA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14F13-1CF4-4791-A538-6251D7458B50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terms/"/>
    <ds:schemaRef ds:uri="http://schemas.microsoft.com/office/infopath/2007/PartnerControls"/>
    <ds:schemaRef ds:uri="1a2be4b7-5498-4157-9911-ddd69cf2a7ad"/>
    <ds:schemaRef ds:uri="8aacef4b-15e4-400e-a38b-fd62a8cac48a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2025-07-01T06:10:00Z</dcterms:created>
  <dcterms:modified xsi:type="dcterms:W3CDTF">2025-07-01T06:10:00Z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